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261"/>
      </w:tblGrid>
      <w:tr w:rsidR="00D5780A" w:rsidRPr="0004741C" w:rsidTr="00AA10C8">
        <w:tc>
          <w:tcPr>
            <w:tcW w:w="6912" w:type="dxa"/>
          </w:tcPr>
          <w:p w:rsidR="00D5780A" w:rsidRPr="00D5780A" w:rsidRDefault="00D5780A" w:rsidP="00D5780A">
            <w:pPr>
              <w:tabs>
                <w:tab w:val="left" w:pos="7200"/>
              </w:tabs>
              <w:spacing w:line="360" w:lineRule="auto"/>
              <w:rPr>
                <w:rFonts w:ascii="Arial" w:hAnsi="Arial" w:cs="Arial"/>
                <w:b/>
              </w:rPr>
            </w:pPr>
            <w:r>
              <w:rPr>
                <w:rFonts w:ascii="Arial" w:hAnsi="Arial" w:cs="Arial"/>
                <w:b/>
              </w:rPr>
              <w:t>P</w:t>
            </w:r>
            <w:r w:rsidRPr="00757B27">
              <w:rPr>
                <w:rFonts w:ascii="Arial" w:hAnsi="Arial" w:cs="Arial"/>
                <w:b/>
              </w:rPr>
              <w:t>resse-Information</w:t>
            </w:r>
          </w:p>
          <w:p w:rsidR="00D5780A" w:rsidRPr="00757B27" w:rsidRDefault="00D5780A" w:rsidP="00B7343A">
            <w:pPr>
              <w:tabs>
                <w:tab w:val="left" w:pos="7200"/>
              </w:tabs>
              <w:rPr>
                <w:rFonts w:ascii="Arial" w:hAnsi="Arial" w:cs="Arial"/>
              </w:rPr>
            </w:pPr>
            <w:r w:rsidRPr="00757B27">
              <w:rPr>
                <w:rFonts w:ascii="Arial" w:hAnsi="Arial" w:cs="Arial"/>
              </w:rPr>
              <w:t xml:space="preserve">Waldachtal, </w:t>
            </w:r>
            <w:r w:rsidR="00B7343A">
              <w:rPr>
                <w:rFonts w:ascii="Arial" w:hAnsi="Arial" w:cs="Arial"/>
              </w:rPr>
              <w:t xml:space="preserve">6. </w:t>
            </w:r>
            <w:r w:rsidR="008A0FB1">
              <w:rPr>
                <w:rFonts w:ascii="Arial" w:hAnsi="Arial" w:cs="Arial"/>
              </w:rPr>
              <w:t>Febr</w:t>
            </w:r>
            <w:r w:rsidR="00B7343A">
              <w:rPr>
                <w:rFonts w:ascii="Arial" w:hAnsi="Arial" w:cs="Arial"/>
              </w:rPr>
              <w:t>uar 2018</w:t>
            </w:r>
          </w:p>
        </w:tc>
        <w:tc>
          <w:tcPr>
            <w:tcW w:w="3261" w:type="dxa"/>
          </w:tcPr>
          <w:p w:rsidR="00D5780A" w:rsidRPr="0004741C" w:rsidRDefault="00D5780A" w:rsidP="00D5780A">
            <w:pPr>
              <w:rPr>
                <w:rFonts w:ascii="Arial" w:hAnsi="Arial" w:cs="Arial"/>
              </w:rPr>
            </w:pPr>
            <w:r>
              <w:rPr>
                <w:rFonts w:ascii="Arial" w:hAnsi="Arial" w:cs="Arial"/>
                <w:b/>
                <w:noProof/>
                <w:lang w:eastAsia="de-DE"/>
              </w:rPr>
              <w:drawing>
                <wp:anchor distT="0" distB="0" distL="114300" distR="114300" simplePos="0" relativeHeight="251660288" behindDoc="0" locked="0" layoutInCell="1" allowOverlap="1" wp14:anchorId="49AB74C8" wp14:editId="51ABF1A0">
                  <wp:simplePos x="0" y="0"/>
                  <wp:positionH relativeFrom="column">
                    <wp:posOffset>-12065</wp:posOffset>
                  </wp:positionH>
                  <wp:positionV relativeFrom="paragraph">
                    <wp:posOffset>368099</wp:posOffset>
                  </wp:positionV>
                  <wp:extent cx="2049780" cy="548406"/>
                  <wp:effectExtent l="0" t="0" r="7620"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fischer-innovative-solutions-Farbe"/>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049780" cy="548406"/>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5780A" w:rsidRPr="0004741C" w:rsidTr="00AA10C8">
        <w:tc>
          <w:tcPr>
            <w:tcW w:w="6912" w:type="dxa"/>
            <w:tcBorders>
              <w:bottom w:val="single" w:sz="4" w:space="0" w:color="auto"/>
            </w:tcBorders>
          </w:tcPr>
          <w:p w:rsidR="00D5780A" w:rsidRPr="0004741C" w:rsidRDefault="00D5780A" w:rsidP="00D5780A">
            <w:pPr>
              <w:rPr>
                <w:rFonts w:ascii="Arial" w:hAnsi="Arial" w:cs="Arial"/>
                <w:sz w:val="24"/>
                <w:szCs w:val="24"/>
              </w:rPr>
            </w:pPr>
          </w:p>
        </w:tc>
        <w:tc>
          <w:tcPr>
            <w:tcW w:w="3261" w:type="dxa"/>
          </w:tcPr>
          <w:p w:rsidR="00D5780A" w:rsidRPr="0004741C" w:rsidRDefault="00D5780A" w:rsidP="00D5780A">
            <w:pPr>
              <w:rPr>
                <w:rFonts w:ascii="Arial" w:hAnsi="Arial" w:cs="Arial"/>
              </w:rPr>
            </w:pPr>
          </w:p>
        </w:tc>
      </w:tr>
      <w:tr w:rsidR="00D5780A" w:rsidRPr="0004741C" w:rsidTr="00AA10C8">
        <w:tc>
          <w:tcPr>
            <w:tcW w:w="6912" w:type="dxa"/>
            <w:tcBorders>
              <w:top w:val="single" w:sz="4" w:space="0" w:color="auto"/>
            </w:tcBorders>
          </w:tcPr>
          <w:p w:rsidR="00D5780A" w:rsidRPr="00D5780A" w:rsidRDefault="00D5780A" w:rsidP="00F34056">
            <w:pPr>
              <w:jc w:val="both"/>
              <w:rPr>
                <w:rFonts w:ascii="Arial" w:hAnsi="Arial" w:cs="Arial"/>
                <w:sz w:val="24"/>
                <w:szCs w:val="24"/>
              </w:rPr>
            </w:pPr>
          </w:p>
        </w:tc>
        <w:tc>
          <w:tcPr>
            <w:tcW w:w="3261" w:type="dxa"/>
          </w:tcPr>
          <w:p w:rsidR="00D5780A" w:rsidRPr="00D5780A" w:rsidRDefault="00D5780A">
            <w:pPr>
              <w:rPr>
                <w:rFonts w:ascii="Arial" w:hAnsi="Arial" w:cs="Arial"/>
              </w:rPr>
            </w:pPr>
          </w:p>
        </w:tc>
      </w:tr>
      <w:tr w:rsidR="003D1C97" w:rsidRPr="0004741C" w:rsidTr="00AA10C8">
        <w:tc>
          <w:tcPr>
            <w:tcW w:w="6912" w:type="dxa"/>
          </w:tcPr>
          <w:p w:rsidR="003D1C97" w:rsidRPr="0004741C" w:rsidRDefault="001D4665" w:rsidP="004C1EF3">
            <w:pPr>
              <w:suppressAutoHyphens/>
              <w:rPr>
                <w:rFonts w:ascii="Arial" w:hAnsi="Arial" w:cs="Arial"/>
                <w:sz w:val="24"/>
                <w:szCs w:val="24"/>
              </w:rPr>
            </w:pPr>
            <w:r>
              <w:rPr>
                <w:rFonts w:ascii="Arial" w:hAnsi="Arial" w:cs="Arial"/>
                <w:sz w:val="24"/>
                <w:szCs w:val="24"/>
              </w:rPr>
              <w:t>Wintergärten schneller beim Kunden</w:t>
            </w:r>
          </w:p>
        </w:tc>
        <w:tc>
          <w:tcPr>
            <w:tcW w:w="3261" w:type="dxa"/>
          </w:tcPr>
          <w:p w:rsidR="003D1C97" w:rsidRPr="0004741C" w:rsidRDefault="003D1C97" w:rsidP="00AA10C8">
            <w:pPr>
              <w:suppressAutoHyphens/>
              <w:rPr>
                <w:rFonts w:ascii="Arial" w:hAnsi="Arial" w:cs="Arial"/>
              </w:rPr>
            </w:pPr>
          </w:p>
        </w:tc>
      </w:tr>
      <w:tr w:rsidR="003D1C97" w:rsidRPr="0004741C" w:rsidTr="00AA10C8">
        <w:tc>
          <w:tcPr>
            <w:tcW w:w="6912" w:type="dxa"/>
          </w:tcPr>
          <w:p w:rsidR="003D1C97" w:rsidRPr="0004741C" w:rsidRDefault="003D1C97" w:rsidP="00F34056">
            <w:pPr>
              <w:suppressAutoHyphens/>
              <w:jc w:val="both"/>
              <w:rPr>
                <w:rFonts w:ascii="Arial" w:hAnsi="Arial" w:cs="Arial"/>
                <w:sz w:val="24"/>
                <w:szCs w:val="24"/>
              </w:rPr>
            </w:pPr>
          </w:p>
        </w:tc>
        <w:tc>
          <w:tcPr>
            <w:tcW w:w="3261" w:type="dxa"/>
          </w:tcPr>
          <w:p w:rsidR="003D1C97" w:rsidRPr="0004741C" w:rsidRDefault="003D1C97" w:rsidP="00AA10C8">
            <w:pPr>
              <w:suppressAutoHyphens/>
              <w:rPr>
                <w:rFonts w:ascii="Arial" w:hAnsi="Arial" w:cs="Arial"/>
              </w:rPr>
            </w:pPr>
          </w:p>
        </w:tc>
      </w:tr>
      <w:tr w:rsidR="003D1C97" w:rsidRPr="0004741C" w:rsidTr="00AA10C8">
        <w:tc>
          <w:tcPr>
            <w:tcW w:w="6912" w:type="dxa"/>
          </w:tcPr>
          <w:p w:rsidR="003D1C97" w:rsidRPr="0004741C" w:rsidRDefault="001D4665" w:rsidP="004C1EF3">
            <w:pPr>
              <w:suppressAutoHyphens/>
              <w:rPr>
                <w:rFonts w:ascii="Arial" w:hAnsi="Arial" w:cs="Arial"/>
                <w:sz w:val="24"/>
                <w:szCs w:val="24"/>
              </w:rPr>
            </w:pPr>
            <w:r>
              <w:rPr>
                <w:rFonts w:ascii="Arial" w:hAnsi="Arial" w:cs="Arial"/>
                <w:b/>
                <w:sz w:val="48"/>
                <w:szCs w:val="48"/>
              </w:rPr>
              <w:t>TS-Aluminium optimiert Fertigungsprozesse</w:t>
            </w:r>
          </w:p>
        </w:tc>
        <w:tc>
          <w:tcPr>
            <w:tcW w:w="3261" w:type="dxa"/>
          </w:tcPr>
          <w:p w:rsidR="003D1C97" w:rsidRPr="0004741C" w:rsidRDefault="003D1C97" w:rsidP="00AA10C8">
            <w:pPr>
              <w:suppressAutoHyphens/>
              <w:rPr>
                <w:rFonts w:ascii="Arial" w:hAnsi="Arial" w:cs="Arial"/>
              </w:rPr>
            </w:pPr>
          </w:p>
        </w:tc>
      </w:tr>
      <w:tr w:rsidR="003D1C97" w:rsidRPr="0004741C" w:rsidTr="00AA10C8">
        <w:tc>
          <w:tcPr>
            <w:tcW w:w="6912" w:type="dxa"/>
          </w:tcPr>
          <w:p w:rsidR="003D1C97" w:rsidRPr="00872E19" w:rsidRDefault="003D1C97" w:rsidP="00F34056">
            <w:pPr>
              <w:suppressAutoHyphens/>
              <w:spacing w:line="360" w:lineRule="auto"/>
              <w:jc w:val="both"/>
              <w:rPr>
                <w:rFonts w:ascii="Arial" w:hAnsi="Arial" w:cs="Arial"/>
                <w:b/>
                <w:sz w:val="24"/>
                <w:szCs w:val="24"/>
              </w:rPr>
            </w:pPr>
          </w:p>
        </w:tc>
        <w:tc>
          <w:tcPr>
            <w:tcW w:w="3261" w:type="dxa"/>
          </w:tcPr>
          <w:p w:rsidR="003D1C97" w:rsidRPr="0004741C" w:rsidRDefault="003D1C97" w:rsidP="00AA10C8">
            <w:pPr>
              <w:suppressAutoHyphens/>
              <w:rPr>
                <w:rFonts w:ascii="Arial" w:hAnsi="Arial" w:cs="Arial"/>
              </w:rPr>
            </w:pPr>
          </w:p>
        </w:tc>
      </w:tr>
      <w:tr w:rsidR="003D1C97" w:rsidRPr="0004741C" w:rsidTr="00AA10C8">
        <w:tc>
          <w:tcPr>
            <w:tcW w:w="6912" w:type="dxa"/>
          </w:tcPr>
          <w:p w:rsidR="003D1C97" w:rsidRPr="00D5780A" w:rsidRDefault="001D4665" w:rsidP="000426F3">
            <w:pPr>
              <w:spacing w:line="360" w:lineRule="auto"/>
              <w:jc w:val="both"/>
              <w:rPr>
                <w:rFonts w:ascii="Arial" w:hAnsi="Arial" w:cs="Arial"/>
                <w:b/>
                <w:sz w:val="24"/>
                <w:szCs w:val="24"/>
              </w:rPr>
            </w:pPr>
            <w:r>
              <w:rPr>
                <w:rFonts w:ascii="Arial" w:hAnsi="Arial" w:cs="Arial"/>
                <w:b/>
                <w:sz w:val="24"/>
                <w:szCs w:val="24"/>
              </w:rPr>
              <w:t xml:space="preserve">Seit 40 Jahren produziert die TS-Aluminium GmbH &amp; Co. KG Aluminiumprofilsysteme für Terrassendächer, Wintergärten oder Carports. Um künftig seinen Kunden eine schnellere Lieferung der Produkte zu bieten, </w:t>
            </w:r>
            <w:r w:rsidR="000426F3">
              <w:rPr>
                <w:rFonts w:ascii="Arial" w:hAnsi="Arial" w:cs="Arial"/>
                <w:b/>
                <w:sz w:val="24"/>
                <w:szCs w:val="24"/>
              </w:rPr>
              <w:t>hat</w:t>
            </w:r>
            <w:r>
              <w:rPr>
                <w:rFonts w:ascii="Arial" w:hAnsi="Arial" w:cs="Arial"/>
                <w:b/>
                <w:sz w:val="24"/>
                <w:szCs w:val="24"/>
              </w:rPr>
              <w:t xml:space="preserve"> der Systemhersteller seine Fertigungsprozesse mit Hilfe von </w:t>
            </w:r>
            <w:proofErr w:type="spellStart"/>
            <w:r>
              <w:rPr>
                <w:rFonts w:ascii="Arial" w:hAnsi="Arial" w:cs="Arial"/>
                <w:b/>
                <w:sz w:val="24"/>
                <w:szCs w:val="24"/>
              </w:rPr>
              <w:t>fischer</w:t>
            </w:r>
            <w:proofErr w:type="spellEnd"/>
            <w:r>
              <w:rPr>
                <w:rFonts w:ascii="Arial" w:hAnsi="Arial" w:cs="Arial"/>
                <w:b/>
                <w:sz w:val="24"/>
                <w:szCs w:val="24"/>
              </w:rPr>
              <w:t xml:space="preserve"> Consulting um 20 Prozent</w:t>
            </w:r>
            <w:r w:rsidR="000426F3">
              <w:rPr>
                <w:rFonts w:ascii="Arial" w:hAnsi="Arial" w:cs="Arial"/>
                <w:b/>
                <w:sz w:val="24"/>
                <w:szCs w:val="24"/>
              </w:rPr>
              <w:t xml:space="preserve"> optimiert</w:t>
            </w:r>
            <w:r>
              <w:rPr>
                <w:rFonts w:ascii="Arial" w:hAnsi="Arial" w:cs="Arial"/>
                <w:b/>
                <w:sz w:val="24"/>
                <w:szCs w:val="24"/>
              </w:rPr>
              <w:t>.</w:t>
            </w:r>
          </w:p>
        </w:tc>
        <w:tc>
          <w:tcPr>
            <w:tcW w:w="3261" w:type="dxa"/>
          </w:tcPr>
          <w:p w:rsidR="003D1C97" w:rsidRDefault="002D0B75" w:rsidP="00270070">
            <w:pPr>
              <w:spacing w:line="276" w:lineRule="auto"/>
              <w:jc w:val="right"/>
              <w:rPr>
                <w:rFonts w:ascii="Arial" w:hAnsi="Arial" w:cs="Arial"/>
                <w:sz w:val="16"/>
                <w:szCs w:val="16"/>
              </w:rPr>
            </w:pPr>
            <w:r>
              <w:rPr>
                <w:rFonts w:ascii="Arial" w:hAnsi="Arial" w:cs="Arial"/>
                <w:sz w:val="16"/>
                <w:szCs w:val="16"/>
              </w:rPr>
              <w:t>fischer Consulting GmbH</w:t>
            </w:r>
          </w:p>
          <w:p w:rsidR="003D1C97" w:rsidRPr="00FB2270" w:rsidRDefault="003D1C97" w:rsidP="00270070">
            <w:pPr>
              <w:spacing w:line="276" w:lineRule="auto"/>
              <w:jc w:val="right"/>
              <w:rPr>
                <w:rFonts w:ascii="Arial" w:hAnsi="Arial" w:cs="Arial"/>
                <w:sz w:val="16"/>
                <w:szCs w:val="16"/>
              </w:rPr>
            </w:pPr>
          </w:p>
          <w:p w:rsidR="003D1C97" w:rsidRDefault="003D1C97" w:rsidP="00270070">
            <w:pPr>
              <w:spacing w:line="276" w:lineRule="auto"/>
              <w:jc w:val="right"/>
              <w:rPr>
                <w:rFonts w:ascii="Arial" w:hAnsi="Arial" w:cs="Arial"/>
                <w:sz w:val="16"/>
                <w:szCs w:val="16"/>
              </w:rPr>
            </w:pPr>
            <w:r>
              <w:rPr>
                <w:rFonts w:ascii="Arial" w:hAnsi="Arial" w:cs="Arial"/>
                <w:sz w:val="16"/>
                <w:szCs w:val="16"/>
              </w:rPr>
              <w:t>Klaus-Fischer-Straße 1</w:t>
            </w:r>
          </w:p>
          <w:p w:rsidR="003D1C97" w:rsidRDefault="003D1C97" w:rsidP="00270070">
            <w:pPr>
              <w:spacing w:line="276" w:lineRule="auto"/>
              <w:jc w:val="right"/>
              <w:rPr>
                <w:rFonts w:ascii="Arial" w:hAnsi="Arial" w:cs="Arial"/>
                <w:sz w:val="16"/>
                <w:szCs w:val="16"/>
              </w:rPr>
            </w:pPr>
            <w:r>
              <w:rPr>
                <w:rFonts w:ascii="Arial" w:hAnsi="Arial" w:cs="Arial"/>
                <w:sz w:val="16"/>
                <w:szCs w:val="16"/>
              </w:rPr>
              <w:t>72178 Waldachtal</w:t>
            </w:r>
          </w:p>
        </w:tc>
      </w:tr>
      <w:tr w:rsidR="003D1C97" w:rsidRPr="0004741C" w:rsidTr="00AA10C8">
        <w:tc>
          <w:tcPr>
            <w:tcW w:w="6912" w:type="dxa"/>
          </w:tcPr>
          <w:p w:rsidR="003D1C97" w:rsidRPr="00903462" w:rsidRDefault="003D1C97" w:rsidP="00F34056">
            <w:pPr>
              <w:spacing w:line="360" w:lineRule="auto"/>
              <w:jc w:val="both"/>
              <w:rPr>
                <w:rFonts w:ascii="Arial" w:hAnsi="Arial" w:cs="Arial"/>
                <w:b/>
                <w:sz w:val="24"/>
                <w:szCs w:val="24"/>
              </w:rPr>
            </w:pPr>
          </w:p>
        </w:tc>
        <w:tc>
          <w:tcPr>
            <w:tcW w:w="3261" w:type="dxa"/>
          </w:tcPr>
          <w:p w:rsidR="003D1C97" w:rsidRPr="0004741C" w:rsidRDefault="003D1C97" w:rsidP="00D5780A">
            <w:pPr>
              <w:jc w:val="right"/>
              <w:rPr>
                <w:rFonts w:ascii="Arial" w:hAnsi="Arial" w:cs="Arial"/>
              </w:rPr>
            </w:pPr>
          </w:p>
        </w:tc>
      </w:tr>
      <w:tr w:rsidR="003D1C97" w:rsidRPr="0004741C" w:rsidTr="00AA10C8">
        <w:tc>
          <w:tcPr>
            <w:tcW w:w="6912" w:type="dxa"/>
          </w:tcPr>
          <w:p w:rsidR="000426F3" w:rsidRDefault="000426F3" w:rsidP="00F34056">
            <w:pPr>
              <w:spacing w:line="360" w:lineRule="auto"/>
              <w:jc w:val="both"/>
              <w:rPr>
                <w:rFonts w:ascii="Arial" w:hAnsi="Arial" w:cs="Arial"/>
                <w:sz w:val="24"/>
                <w:szCs w:val="24"/>
              </w:rPr>
            </w:pPr>
            <w:r>
              <w:rPr>
                <w:rFonts w:ascii="Arial" w:hAnsi="Arial" w:cs="Arial"/>
                <w:sz w:val="24"/>
                <w:szCs w:val="24"/>
              </w:rPr>
              <w:t>Das Traditionsunternehmen TS-Aluminium in Gr</w:t>
            </w:r>
            <w:r w:rsidR="00E83776">
              <w:rPr>
                <w:rFonts w:ascii="Arial" w:hAnsi="Arial" w:cs="Arial"/>
                <w:sz w:val="24"/>
                <w:szCs w:val="24"/>
              </w:rPr>
              <w:t xml:space="preserve">oßefehn </w:t>
            </w:r>
            <w:r>
              <w:rPr>
                <w:rFonts w:ascii="Arial" w:hAnsi="Arial" w:cs="Arial"/>
                <w:sz w:val="24"/>
                <w:szCs w:val="24"/>
              </w:rPr>
              <w:t xml:space="preserve">blickt auf einen </w:t>
            </w:r>
            <w:r w:rsidR="00E83776">
              <w:rPr>
                <w:rFonts w:ascii="Arial" w:hAnsi="Arial" w:cs="Arial"/>
                <w:sz w:val="24"/>
                <w:szCs w:val="24"/>
              </w:rPr>
              <w:t>stabilen</w:t>
            </w:r>
            <w:r>
              <w:rPr>
                <w:rFonts w:ascii="Arial" w:hAnsi="Arial" w:cs="Arial"/>
                <w:sz w:val="24"/>
                <w:szCs w:val="24"/>
              </w:rPr>
              <w:t xml:space="preserve"> Entwicklungsweg: </w:t>
            </w:r>
            <w:r w:rsidRPr="000426F3">
              <w:rPr>
                <w:rFonts w:ascii="Arial" w:hAnsi="Arial" w:cs="Arial"/>
                <w:sz w:val="24"/>
                <w:szCs w:val="24"/>
              </w:rPr>
              <w:t xml:space="preserve">Was vor 40 Jahren als Zwei-Mann-Betrieb begann, hat sich inzwischen zu einem modernen Unternehmen mit mehr als 30 Millionen Euro Umsatz pro Jahr und 120 Mitarbeitern entwickelt. Erst 2017 vergrößerte das Systemhaus seine Produktions- und Büroflächen, die zwischenzeitlich über 20.000 Quadratmeter groß sind. </w:t>
            </w:r>
          </w:p>
          <w:p w:rsidR="000426F3" w:rsidRDefault="000426F3" w:rsidP="00F34056">
            <w:pPr>
              <w:spacing w:line="360" w:lineRule="auto"/>
              <w:jc w:val="both"/>
              <w:rPr>
                <w:rFonts w:ascii="Arial" w:hAnsi="Arial" w:cs="Arial"/>
                <w:sz w:val="24"/>
                <w:szCs w:val="24"/>
              </w:rPr>
            </w:pPr>
          </w:p>
          <w:p w:rsidR="000426F3" w:rsidRDefault="000426F3" w:rsidP="00F34056">
            <w:pPr>
              <w:spacing w:line="360" w:lineRule="auto"/>
              <w:jc w:val="both"/>
              <w:rPr>
                <w:rFonts w:ascii="Arial" w:hAnsi="Arial" w:cs="Arial"/>
                <w:sz w:val="24"/>
                <w:szCs w:val="24"/>
              </w:rPr>
            </w:pPr>
            <w:r w:rsidRPr="000426F3">
              <w:rPr>
                <w:rFonts w:ascii="Arial" w:hAnsi="Arial" w:cs="Arial"/>
                <w:sz w:val="24"/>
                <w:szCs w:val="24"/>
              </w:rPr>
              <w:t xml:space="preserve">Stetes Wachstum und die Ausdehnung der Projekte auf das europäische Ausland erfordern Investitionen und Neustrukturierungen. Den Plan </w:t>
            </w:r>
            <w:r>
              <w:rPr>
                <w:rFonts w:ascii="Arial" w:hAnsi="Arial" w:cs="Arial"/>
                <w:sz w:val="24"/>
                <w:szCs w:val="24"/>
              </w:rPr>
              <w:t>zur</w:t>
            </w:r>
            <w:r w:rsidRPr="000426F3">
              <w:rPr>
                <w:rFonts w:ascii="Arial" w:hAnsi="Arial" w:cs="Arial"/>
                <w:sz w:val="24"/>
                <w:szCs w:val="24"/>
              </w:rPr>
              <w:t xml:space="preserve"> Anschaffung einer neuen Beschichtungsanlage nahmen Geschäftsführer Rainer Trauernicht und sein Team zum Anlass, das Fertigungslayout genau unter die Lupe zu nehmen. Sie zogen die </w:t>
            </w:r>
            <w:proofErr w:type="spellStart"/>
            <w:r w:rsidRPr="000426F3">
              <w:rPr>
                <w:rFonts w:ascii="Arial" w:hAnsi="Arial" w:cs="Arial"/>
                <w:sz w:val="24"/>
                <w:szCs w:val="24"/>
              </w:rPr>
              <w:t>fischer</w:t>
            </w:r>
            <w:proofErr w:type="spellEnd"/>
            <w:r w:rsidRPr="000426F3">
              <w:rPr>
                <w:rFonts w:ascii="Arial" w:hAnsi="Arial" w:cs="Arial"/>
                <w:sz w:val="24"/>
                <w:szCs w:val="24"/>
              </w:rPr>
              <w:t xml:space="preserve"> Consulting zurate, ein Beratungsunternehmen aus der Unternehmensgruppe </w:t>
            </w:r>
            <w:proofErr w:type="spellStart"/>
            <w:r w:rsidRPr="000426F3">
              <w:rPr>
                <w:rFonts w:ascii="Arial" w:hAnsi="Arial" w:cs="Arial"/>
                <w:sz w:val="24"/>
                <w:szCs w:val="24"/>
              </w:rPr>
              <w:t>fischer</w:t>
            </w:r>
            <w:proofErr w:type="spellEnd"/>
            <w:r w:rsidRPr="000426F3">
              <w:rPr>
                <w:rFonts w:ascii="Arial" w:hAnsi="Arial" w:cs="Arial"/>
                <w:sz w:val="24"/>
                <w:szCs w:val="24"/>
              </w:rPr>
              <w:t xml:space="preserve">, zu der auch die </w:t>
            </w:r>
            <w:proofErr w:type="spellStart"/>
            <w:r w:rsidRPr="000426F3">
              <w:rPr>
                <w:rFonts w:ascii="Arial" w:hAnsi="Arial" w:cs="Arial"/>
                <w:sz w:val="24"/>
                <w:szCs w:val="24"/>
              </w:rPr>
              <w:t>fischer</w:t>
            </w:r>
            <w:proofErr w:type="spellEnd"/>
            <w:r w:rsidRPr="000426F3">
              <w:rPr>
                <w:rFonts w:ascii="Arial" w:hAnsi="Arial" w:cs="Arial"/>
                <w:sz w:val="24"/>
                <w:szCs w:val="24"/>
              </w:rPr>
              <w:t xml:space="preserve"> Befestigungssysteme gehören. </w:t>
            </w:r>
          </w:p>
          <w:p w:rsidR="000426F3" w:rsidRDefault="000426F3" w:rsidP="00F34056">
            <w:pPr>
              <w:spacing w:line="360" w:lineRule="auto"/>
              <w:jc w:val="both"/>
              <w:rPr>
                <w:rFonts w:ascii="Arial" w:hAnsi="Arial" w:cs="Arial"/>
                <w:sz w:val="24"/>
                <w:szCs w:val="24"/>
              </w:rPr>
            </w:pPr>
          </w:p>
          <w:p w:rsidR="000426F3" w:rsidRDefault="000426F3" w:rsidP="00F34056">
            <w:pPr>
              <w:spacing w:line="360" w:lineRule="auto"/>
              <w:jc w:val="both"/>
              <w:rPr>
                <w:rFonts w:ascii="Arial" w:hAnsi="Arial" w:cs="Arial"/>
                <w:sz w:val="24"/>
                <w:szCs w:val="24"/>
              </w:rPr>
            </w:pPr>
          </w:p>
          <w:p w:rsidR="000426F3" w:rsidRDefault="000426F3" w:rsidP="00F34056">
            <w:pPr>
              <w:spacing w:line="360" w:lineRule="auto"/>
              <w:jc w:val="both"/>
              <w:rPr>
                <w:rFonts w:ascii="Arial" w:hAnsi="Arial" w:cs="Arial"/>
                <w:sz w:val="24"/>
                <w:szCs w:val="24"/>
              </w:rPr>
            </w:pPr>
            <w:r w:rsidRPr="000426F3">
              <w:rPr>
                <w:rFonts w:ascii="Arial" w:hAnsi="Arial" w:cs="Arial"/>
                <w:sz w:val="24"/>
                <w:szCs w:val="24"/>
              </w:rPr>
              <w:lastRenderedPageBreak/>
              <w:t xml:space="preserve">Die Berater der </w:t>
            </w:r>
            <w:proofErr w:type="spellStart"/>
            <w:r w:rsidRPr="000426F3">
              <w:rPr>
                <w:rFonts w:ascii="Arial" w:hAnsi="Arial" w:cs="Arial"/>
                <w:sz w:val="24"/>
                <w:szCs w:val="24"/>
              </w:rPr>
              <w:t>fischer</w:t>
            </w:r>
            <w:proofErr w:type="spellEnd"/>
            <w:r w:rsidRPr="000426F3">
              <w:rPr>
                <w:rFonts w:ascii="Arial" w:hAnsi="Arial" w:cs="Arial"/>
                <w:sz w:val="24"/>
                <w:szCs w:val="24"/>
              </w:rPr>
              <w:t xml:space="preserve"> Consulting optimieren seit Jahrzehnten konzernintern und in Firmen, </w:t>
            </w:r>
            <w:r w:rsidR="00E83776">
              <w:rPr>
                <w:rFonts w:ascii="Arial" w:hAnsi="Arial" w:cs="Arial"/>
                <w:sz w:val="24"/>
                <w:szCs w:val="24"/>
              </w:rPr>
              <w:t xml:space="preserve">in </w:t>
            </w:r>
            <w:r w:rsidRPr="000426F3">
              <w:rPr>
                <w:rFonts w:ascii="Arial" w:hAnsi="Arial" w:cs="Arial"/>
                <w:sz w:val="24"/>
                <w:szCs w:val="24"/>
              </w:rPr>
              <w:t xml:space="preserve">Behörden und </w:t>
            </w:r>
            <w:r w:rsidR="00E83776">
              <w:rPr>
                <w:rFonts w:ascii="Arial" w:hAnsi="Arial" w:cs="Arial"/>
                <w:sz w:val="24"/>
                <w:szCs w:val="24"/>
              </w:rPr>
              <w:t xml:space="preserve">in </w:t>
            </w:r>
            <w:r w:rsidRPr="000426F3">
              <w:rPr>
                <w:rFonts w:ascii="Arial" w:hAnsi="Arial" w:cs="Arial"/>
                <w:sz w:val="24"/>
                <w:szCs w:val="24"/>
              </w:rPr>
              <w:t xml:space="preserve">Handwerksbetrieben Prozesse anhand des firmeneigenen </w:t>
            </w:r>
            <w:proofErr w:type="spellStart"/>
            <w:r w:rsidRPr="000426F3">
              <w:rPr>
                <w:rFonts w:ascii="Arial" w:hAnsi="Arial" w:cs="Arial"/>
                <w:sz w:val="24"/>
                <w:szCs w:val="24"/>
              </w:rPr>
              <w:t>fischer</w:t>
            </w:r>
            <w:proofErr w:type="spellEnd"/>
            <w:r w:rsidRPr="000426F3">
              <w:rPr>
                <w:rFonts w:ascii="Arial" w:hAnsi="Arial" w:cs="Arial"/>
                <w:sz w:val="24"/>
                <w:szCs w:val="24"/>
              </w:rPr>
              <w:t xml:space="preserve"> </w:t>
            </w:r>
            <w:proofErr w:type="spellStart"/>
            <w:r w:rsidRPr="000426F3">
              <w:rPr>
                <w:rFonts w:ascii="Arial" w:hAnsi="Arial" w:cs="Arial"/>
                <w:sz w:val="24"/>
                <w:szCs w:val="24"/>
              </w:rPr>
              <w:t>ProzessSystems</w:t>
            </w:r>
            <w:proofErr w:type="spellEnd"/>
            <w:r w:rsidRPr="000426F3">
              <w:rPr>
                <w:rFonts w:ascii="Arial" w:hAnsi="Arial" w:cs="Arial"/>
                <w:sz w:val="24"/>
                <w:szCs w:val="24"/>
              </w:rPr>
              <w:t xml:space="preserve">. </w:t>
            </w:r>
            <w:r w:rsidR="001D4665">
              <w:rPr>
                <w:rFonts w:ascii="Arial" w:hAnsi="Arial" w:cs="Arial"/>
                <w:sz w:val="24"/>
                <w:szCs w:val="24"/>
              </w:rPr>
              <w:t xml:space="preserve"> </w:t>
            </w:r>
          </w:p>
          <w:p w:rsidR="000426F3" w:rsidRDefault="000426F3" w:rsidP="00F34056">
            <w:pPr>
              <w:spacing w:line="360" w:lineRule="auto"/>
              <w:jc w:val="both"/>
              <w:rPr>
                <w:rFonts w:ascii="Arial" w:hAnsi="Arial" w:cs="Arial"/>
                <w:sz w:val="24"/>
                <w:szCs w:val="24"/>
              </w:rPr>
            </w:pPr>
          </w:p>
          <w:p w:rsidR="00B01F81" w:rsidRDefault="000426F3" w:rsidP="00F34056">
            <w:pPr>
              <w:spacing w:line="360" w:lineRule="auto"/>
              <w:jc w:val="both"/>
              <w:rPr>
                <w:rFonts w:ascii="Arial" w:hAnsi="Arial" w:cs="Arial"/>
                <w:sz w:val="24"/>
                <w:szCs w:val="24"/>
              </w:rPr>
            </w:pPr>
            <w:r>
              <w:rPr>
                <w:rFonts w:ascii="Arial" w:hAnsi="Arial" w:cs="Arial"/>
                <w:sz w:val="24"/>
                <w:szCs w:val="24"/>
              </w:rPr>
              <w:t xml:space="preserve">Das Layout für den 3.000 Quadratmeter großen Fertigungsbereich wurde im Zuge einiger Workshops auf Basis des </w:t>
            </w:r>
            <w:proofErr w:type="spellStart"/>
            <w:r>
              <w:rPr>
                <w:rFonts w:ascii="Arial" w:hAnsi="Arial" w:cs="Arial"/>
                <w:sz w:val="24"/>
                <w:szCs w:val="24"/>
              </w:rPr>
              <w:t>fischer</w:t>
            </w:r>
            <w:proofErr w:type="spellEnd"/>
            <w:r>
              <w:rPr>
                <w:rFonts w:ascii="Arial" w:hAnsi="Arial" w:cs="Arial"/>
                <w:sz w:val="24"/>
                <w:szCs w:val="24"/>
              </w:rPr>
              <w:t xml:space="preserve"> </w:t>
            </w:r>
            <w:proofErr w:type="spellStart"/>
            <w:r>
              <w:rPr>
                <w:rFonts w:ascii="Arial" w:hAnsi="Arial" w:cs="Arial"/>
                <w:sz w:val="24"/>
                <w:szCs w:val="24"/>
              </w:rPr>
              <w:t>ProzessSystems</w:t>
            </w:r>
            <w:proofErr w:type="spellEnd"/>
            <w:r>
              <w:rPr>
                <w:rFonts w:ascii="Arial" w:hAnsi="Arial" w:cs="Arial"/>
                <w:sz w:val="24"/>
                <w:szCs w:val="24"/>
              </w:rPr>
              <w:t xml:space="preserve"> neu angeordnet. </w:t>
            </w:r>
            <w:r w:rsidRPr="000426F3">
              <w:rPr>
                <w:rFonts w:ascii="Arial" w:hAnsi="Arial" w:cs="Arial"/>
                <w:sz w:val="24"/>
                <w:szCs w:val="24"/>
              </w:rPr>
              <w:t xml:space="preserve">„Mit Unterstützung von der </w:t>
            </w:r>
            <w:proofErr w:type="spellStart"/>
            <w:r w:rsidRPr="000426F3">
              <w:rPr>
                <w:rFonts w:ascii="Arial" w:hAnsi="Arial" w:cs="Arial"/>
                <w:sz w:val="24"/>
                <w:szCs w:val="24"/>
              </w:rPr>
              <w:t>fischer</w:t>
            </w:r>
            <w:proofErr w:type="spellEnd"/>
            <w:r w:rsidRPr="000426F3">
              <w:rPr>
                <w:rFonts w:ascii="Arial" w:hAnsi="Arial" w:cs="Arial"/>
                <w:sz w:val="24"/>
                <w:szCs w:val="24"/>
              </w:rPr>
              <w:t xml:space="preserve"> Consulting haben wir unsere Fertigungsprozesse deutlich verschlanken können. So </w:t>
            </w:r>
            <w:r>
              <w:rPr>
                <w:rFonts w:ascii="Arial" w:hAnsi="Arial" w:cs="Arial"/>
                <w:sz w:val="24"/>
                <w:szCs w:val="24"/>
              </w:rPr>
              <w:t>beliefern</w:t>
            </w:r>
            <w:r w:rsidRPr="000426F3">
              <w:rPr>
                <w:rFonts w:ascii="Arial" w:hAnsi="Arial" w:cs="Arial"/>
                <w:sz w:val="24"/>
                <w:szCs w:val="24"/>
              </w:rPr>
              <w:t xml:space="preserve"> wir unsere Kunden schneller und </w:t>
            </w:r>
            <w:r>
              <w:rPr>
                <w:rFonts w:ascii="Arial" w:hAnsi="Arial" w:cs="Arial"/>
                <w:sz w:val="24"/>
                <w:szCs w:val="24"/>
              </w:rPr>
              <w:t xml:space="preserve">sparen </w:t>
            </w:r>
            <w:r w:rsidRPr="000426F3">
              <w:rPr>
                <w:rFonts w:ascii="Arial" w:hAnsi="Arial" w:cs="Arial"/>
                <w:sz w:val="24"/>
                <w:szCs w:val="24"/>
              </w:rPr>
              <w:t>gleichzeitig Kosten“, berichtet Geschäftsführer Rainer Trauernicht.</w:t>
            </w:r>
          </w:p>
          <w:p w:rsidR="00D45D7A" w:rsidRDefault="00D45D7A" w:rsidP="00F34056">
            <w:pPr>
              <w:spacing w:line="360" w:lineRule="auto"/>
              <w:jc w:val="both"/>
              <w:rPr>
                <w:rFonts w:ascii="Arial" w:hAnsi="Arial" w:cs="Arial"/>
                <w:sz w:val="24"/>
                <w:szCs w:val="24"/>
              </w:rPr>
            </w:pPr>
          </w:p>
          <w:p w:rsidR="000426F3" w:rsidRDefault="00A465A8" w:rsidP="00F34056">
            <w:pPr>
              <w:spacing w:line="360" w:lineRule="auto"/>
              <w:jc w:val="both"/>
              <w:rPr>
                <w:rFonts w:ascii="Arial" w:hAnsi="Arial" w:cs="Arial"/>
                <w:sz w:val="24"/>
                <w:szCs w:val="24"/>
              </w:rPr>
            </w:pPr>
            <w:r>
              <w:rPr>
                <w:rFonts w:ascii="Arial" w:hAnsi="Arial" w:cs="Arial"/>
                <w:sz w:val="24"/>
                <w:szCs w:val="24"/>
              </w:rPr>
              <w:t>Auch</w:t>
            </w:r>
            <w:r w:rsidR="000426F3" w:rsidRPr="000426F3">
              <w:rPr>
                <w:rFonts w:ascii="Arial" w:hAnsi="Arial" w:cs="Arial"/>
                <w:sz w:val="24"/>
                <w:szCs w:val="24"/>
              </w:rPr>
              <w:t xml:space="preserve"> </w:t>
            </w:r>
            <w:r w:rsidR="000426F3">
              <w:rPr>
                <w:rFonts w:ascii="Arial" w:hAnsi="Arial" w:cs="Arial"/>
                <w:sz w:val="24"/>
                <w:szCs w:val="24"/>
              </w:rPr>
              <w:t>künftig</w:t>
            </w:r>
            <w:r>
              <w:rPr>
                <w:rFonts w:ascii="Arial" w:hAnsi="Arial" w:cs="Arial"/>
                <w:sz w:val="24"/>
                <w:szCs w:val="24"/>
              </w:rPr>
              <w:t xml:space="preserve"> werden die Mitarbeiter von TS-Aluminium</w:t>
            </w:r>
            <w:r w:rsidR="000426F3">
              <w:rPr>
                <w:rFonts w:ascii="Arial" w:hAnsi="Arial" w:cs="Arial"/>
                <w:sz w:val="24"/>
                <w:szCs w:val="24"/>
              </w:rPr>
              <w:t xml:space="preserve"> Optimierungsmaßnahmen vornehmen</w:t>
            </w:r>
            <w:r w:rsidR="000426F3" w:rsidRPr="000426F3">
              <w:rPr>
                <w:rFonts w:ascii="Arial" w:hAnsi="Arial" w:cs="Arial"/>
                <w:sz w:val="24"/>
                <w:szCs w:val="24"/>
              </w:rPr>
              <w:t xml:space="preserve">: Teil der Workshop-Reihe </w:t>
            </w:r>
            <w:r>
              <w:rPr>
                <w:rFonts w:ascii="Arial" w:hAnsi="Arial" w:cs="Arial"/>
                <w:sz w:val="24"/>
                <w:szCs w:val="24"/>
              </w:rPr>
              <w:t xml:space="preserve">von </w:t>
            </w:r>
            <w:proofErr w:type="spellStart"/>
            <w:r>
              <w:rPr>
                <w:rFonts w:ascii="Arial" w:hAnsi="Arial" w:cs="Arial"/>
                <w:sz w:val="24"/>
                <w:szCs w:val="24"/>
              </w:rPr>
              <w:t>fischer</w:t>
            </w:r>
            <w:proofErr w:type="spellEnd"/>
            <w:r>
              <w:rPr>
                <w:rFonts w:ascii="Arial" w:hAnsi="Arial" w:cs="Arial"/>
                <w:sz w:val="24"/>
                <w:szCs w:val="24"/>
              </w:rPr>
              <w:t xml:space="preserve"> Consulting </w:t>
            </w:r>
            <w:r w:rsidR="000426F3" w:rsidRPr="000426F3">
              <w:rPr>
                <w:rFonts w:ascii="Arial" w:hAnsi="Arial" w:cs="Arial"/>
                <w:sz w:val="24"/>
                <w:szCs w:val="24"/>
              </w:rPr>
              <w:t>war</w:t>
            </w:r>
            <w:r w:rsidR="000426F3">
              <w:rPr>
                <w:rFonts w:ascii="Arial" w:hAnsi="Arial" w:cs="Arial"/>
                <w:sz w:val="24"/>
                <w:szCs w:val="24"/>
              </w:rPr>
              <w:t>en</w:t>
            </w:r>
            <w:r w:rsidR="000426F3" w:rsidRPr="000426F3">
              <w:rPr>
                <w:rFonts w:ascii="Arial" w:hAnsi="Arial" w:cs="Arial"/>
                <w:sz w:val="24"/>
                <w:szCs w:val="24"/>
              </w:rPr>
              <w:t xml:space="preserve"> auch eine detaillierte Schulung zu den Prinzipien des </w:t>
            </w:r>
            <w:proofErr w:type="spellStart"/>
            <w:r w:rsidR="000426F3" w:rsidRPr="000426F3">
              <w:rPr>
                <w:rFonts w:ascii="Arial" w:hAnsi="Arial" w:cs="Arial"/>
                <w:sz w:val="24"/>
                <w:szCs w:val="24"/>
              </w:rPr>
              <w:t>fischer</w:t>
            </w:r>
            <w:proofErr w:type="spellEnd"/>
            <w:r w:rsidR="000426F3" w:rsidRPr="000426F3">
              <w:rPr>
                <w:rFonts w:ascii="Arial" w:hAnsi="Arial" w:cs="Arial"/>
                <w:sz w:val="24"/>
                <w:szCs w:val="24"/>
              </w:rPr>
              <w:t xml:space="preserve"> </w:t>
            </w:r>
            <w:proofErr w:type="spellStart"/>
            <w:r w:rsidR="000426F3" w:rsidRPr="000426F3">
              <w:rPr>
                <w:rFonts w:ascii="Arial" w:hAnsi="Arial" w:cs="Arial"/>
                <w:sz w:val="24"/>
                <w:szCs w:val="24"/>
              </w:rPr>
              <w:t>ProzessSystems</w:t>
            </w:r>
            <w:proofErr w:type="spellEnd"/>
            <w:r w:rsidR="000426F3" w:rsidRPr="000426F3">
              <w:rPr>
                <w:rFonts w:ascii="Arial" w:hAnsi="Arial" w:cs="Arial"/>
                <w:sz w:val="24"/>
                <w:szCs w:val="24"/>
              </w:rPr>
              <w:t xml:space="preserve"> sowie Informationen zu gängigen Workshop-Methoden und zu den verschiedenen Verschwendungsarten.  </w:t>
            </w:r>
          </w:p>
          <w:p w:rsidR="00652CD0" w:rsidRDefault="00652CD0" w:rsidP="00F34056">
            <w:pPr>
              <w:spacing w:line="360" w:lineRule="auto"/>
              <w:jc w:val="both"/>
              <w:rPr>
                <w:rFonts w:ascii="Arial" w:hAnsi="Arial" w:cs="Arial"/>
                <w:sz w:val="24"/>
                <w:szCs w:val="24"/>
              </w:rPr>
            </w:pPr>
          </w:p>
          <w:p w:rsidR="00D45D7A" w:rsidRPr="00270070" w:rsidRDefault="00D45D7A" w:rsidP="00F34056">
            <w:pPr>
              <w:spacing w:line="360" w:lineRule="auto"/>
              <w:jc w:val="both"/>
              <w:rPr>
                <w:rFonts w:ascii="Arial" w:hAnsi="Arial" w:cs="Arial"/>
                <w:sz w:val="24"/>
                <w:szCs w:val="24"/>
              </w:rPr>
            </w:pPr>
          </w:p>
          <w:p w:rsidR="003D1C97" w:rsidRPr="00D5780A" w:rsidRDefault="003D1C97" w:rsidP="00F34056">
            <w:pPr>
              <w:spacing w:line="360" w:lineRule="auto"/>
              <w:jc w:val="both"/>
              <w:rPr>
                <w:rFonts w:ascii="Arial" w:hAnsi="Arial" w:cs="Arial"/>
                <w:b/>
                <w:sz w:val="24"/>
                <w:szCs w:val="24"/>
              </w:rPr>
            </w:pPr>
          </w:p>
        </w:tc>
        <w:tc>
          <w:tcPr>
            <w:tcW w:w="3261" w:type="dxa"/>
          </w:tcPr>
          <w:p w:rsidR="003D1C97" w:rsidRPr="0004741C" w:rsidRDefault="003D1C97" w:rsidP="0004741C">
            <w:pPr>
              <w:jc w:val="right"/>
              <w:rPr>
                <w:rFonts w:ascii="Arial" w:hAnsi="Arial" w:cs="Arial"/>
                <w:sz w:val="16"/>
                <w:szCs w:val="16"/>
              </w:rPr>
            </w:pPr>
          </w:p>
        </w:tc>
      </w:tr>
      <w:tr w:rsidR="003D1C97" w:rsidRPr="0004741C" w:rsidTr="00AA10C8">
        <w:tc>
          <w:tcPr>
            <w:tcW w:w="6912" w:type="dxa"/>
          </w:tcPr>
          <w:p w:rsidR="003D1C97" w:rsidRPr="00D5780A" w:rsidRDefault="003D1C97" w:rsidP="00F34056">
            <w:pPr>
              <w:spacing w:line="360" w:lineRule="auto"/>
              <w:jc w:val="both"/>
              <w:rPr>
                <w:rFonts w:ascii="Arial" w:hAnsi="Arial" w:cs="Arial"/>
                <w:sz w:val="24"/>
                <w:szCs w:val="24"/>
              </w:rPr>
            </w:pPr>
          </w:p>
        </w:tc>
        <w:tc>
          <w:tcPr>
            <w:tcW w:w="3261" w:type="dxa"/>
          </w:tcPr>
          <w:p w:rsidR="003D1C97" w:rsidRPr="0004741C" w:rsidRDefault="003D1C97">
            <w:pPr>
              <w:rPr>
                <w:rFonts w:ascii="Arial" w:hAnsi="Arial" w:cs="Arial"/>
              </w:rPr>
            </w:pPr>
          </w:p>
        </w:tc>
      </w:tr>
    </w:tbl>
    <w:p w:rsidR="008A0FB1" w:rsidRDefault="008A0FB1"/>
    <w:p w:rsidR="008A0FB1" w:rsidRDefault="008A0FB1"/>
    <w:p w:rsidR="008A0FB1" w:rsidRDefault="008A0FB1">
      <w:r w:rsidRPr="008A0FB1">
        <w:rPr>
          <w:u w:val="single"/>
        </w:rPr>
        <w:t>Vorschlag Bildunterschrift:</w:t>
      </w:r>
      <w:r>
        <w:t xml:space="preserve"> </w:t>
      </w:r>
    </w:p>
    <w:p w:rsidR="008A0FB1" w:rsidRDefault="008A0FB1">
      <w:r>
        <w:t xml:space="preserve">Auf inzwischen </w:t>
      </w:r>
      <w:bookmarkStart w:id="0" w:name="_GoBack"/>
      <w:bookmarkEnd w:id="0"/>
      <w:r>
        <w:t xml:space="preserve">über 20.000m² belaufen sich die Büro- und Produktionsflächen von TS Aluminium. Die Aufnahme zeigt den Stammsitz des Unternehmens im ostfriesischen Großefehn. </w:t>
      </w:r>
    </w:p>
    <w:p w:rsidR="008A0FB1" w:rsidRDefault="008A0FB1"/>
    <w:p w:rsidR="008A0FB1" w:rsidRPr="008A0FB1" w:rsidRDefault="008A0FB1" w:rsidP="008A0FB1">
      <w:pPr>
        <w:rPr>
          <w:b/>
        </w:rPr>
      </w:pPr>
      <w:r w:rsidRPr="008A0FB1">
        <w:rPr>
          <w:b/>
        </w:rPr>
        <w:t>Bildnachweis: TS Aluminium</w:t>
      </w:r>
    </w:p>
    <w:p w:rsidR="006E5966" w:rsidRDefault="006E5966">
      <w:r>
        <w:br w:type="page"/>
      </w:r>
    </w:p>
    <w:tbl>
      <w:tblPr>
        <w:tblStyle w:val="Tabellenrast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261"/>
      </w:tblGrid>
      <w:tr w:rsidR="003D1C97" w:rsidRPr="0004741C" w:rsidTr="00903462">
        <w:trPr>
          <w:trHeight w:val="351"/>
        </w:trPr>
        <w:tc>
          <w:tcPr>
            <w:tcW w:w="6912" w:type="dxa"/>
          </w:tcPr>
          <w:p w:rsidR="00D7191A" w:rsidRDefault="00F36B92" w:rsidP="0053247D">
            <w:pPr>
              <w:tabs>
                <w:tab w:val="left" w:pos="7200"/>
              </w:tabs>
              <w:spacing w:afterLines="60" w:after="144"/>
              <w:jc w:val="both"/>
              <w:rPr>
                <w:rFonts w:ascii="Arial" w:hAnsi="Arial" w:cs="Arial"/>
                <w:b/>
                <w:sz w:val="18"/>
                <w:szCs w:val="18"/>
              </w:rPr>
            </w:pPr>
            <w:r>
              <w:rPr>
                <w:rFonts w:ascii="Arial" w:hAnsi="Arial" w:cs="Arial"/>
                <w:b/>
                <w:sz w:val="18"/>
                <w:szCs w:val="18"/>
              </w:rPr>
              <w:lastRenderedPageBreak/>
              <w:fldChar w:fldCharType="begin"/>
            </w:r>
            <w:r>
              <w:rPr>
                <w:rFonts w:ascii="Arial" w:hAnsi="Arial" w:cs="Arial"/>
                <w:b/>
                <w:sz w:val="18"/>
                <w:szCs w:val="18"/>
              </w:rPr>
              <w:instrText xml:space="preserve"> INCLUDETEXT "I:\\Fuehrung\\Unternehmenskommunikation\\aktuell\\2017-Presseinformationen\\Vorlagen\\Vorlage-Abspann-deutsch.docx" </w:instrText>
            </w:r>
            <w:r>
              <w:rPr>
                <w:rFonts w:ascii="Arial" w:hAnsi="Arial" w:cs="Arial"/>
                <w:b/>
                <w:sz w:val="18"/>
                <w:szCs w:val="18"/>
              </w:rPr>
              <w:fldChar w:fldCharType="separate"/>
            </w:r>
            <w:r w:rsidR="00D7191A">
              <w:rPr>
                <w:rFonts w:ascii="Arial" w:hAnsi="Arial" w:cs="Arial"/>
                <w:b/>
                <w:sz w:val="18"/>
                <w:szCs w:val="18"/>
              </w:rPr>
              <w:t xml:space="preserve">Unternehmensgruppe </w:t>
            </w:r>
            <w:proofErr w:type="spellStart"/>
            <w:r w:rsidR="00D7191A">
              <w:rPr>
                <w:rFonts w:ascii="Arial" w:hAnsi="Arial" w:cs="Arial"/>
                <w:b/>
                <w:sz w:val="18"/>
                <w:szCs w:val="18"/>
              </w:rPr>
              <w:t>fischer</w:t>
            </w:r>
            <w:proofErr w:type="spellEnd"/>
          </w:p>
          <w:p w:rsidR="00D7191A" w:rsidRDefault="00D7191A" w:rsidP="0053247D">
            <w:pPr>
              <w:tabs>
                <w:tab w:val="left" w:pos="7200"/>
              </w:tabs>
              <w:spacing w:afterLines="60" w:after="144"/>
              <w:jc w:val="both"/>
              <w:rPr>
                <w:rFonts w:ascii="Arial" w:hAnsi="Arial" w:cs="Arial"/>
                <w:b/>
                <w:sz w:val="18"/>
                <w:szCs w:val="18"/>
              </w:rPr>
            </w:pPr>
            <w:r>
              <w:rPr>
                <w:rFonts w:ascii="Arial" w:hAnsi="Arial" w:cs="Arial"/>
                <w:b/>
                <w:sz w:val="18"/>
                <w:szCs w:val="18"/>
              </w:rPr>
              <w:t xml:space="preserve">Die Unternehmensgruppe </w:t>
            </w:r>
            <w:proofErr w:type="spellStart"/>
            <w:r>
              <w:rPr>
                <w:rFonts w:ascii="Arial" w:hAnsi="Arial" w:cs="Arial"/>
                <w:b/>
                <w:sz w:val="18"/>
                <w:szCs w:val="18"/>
              </w:rPr>
              <w:t>fischer</w:t>
            </w:r>
            <w:proofErr w:type="spellEnd"/>
            <w:r>
              <w:rPr>
                <w:rFonts w:ascii="Arial" w:hAnsi="Arial" w:cs="Arial"/>
                <w:b/>
                <w:sz w:val="18"/>
                <w:szCs w:val="18"/>
              </w:rPr>
              <w:t xml:space="preserve"> mit Sitz in Waldachtal, Nordschwarzwald, hat 2016 mit weltweit rund 4.600 Mitarbeitern einen Umsatz von 755 Millionen Euro erzielt. Das Familienunternehmen ist mit 46 Gesellschaften in 34 Ländern vertreten und exportiert in über 100 Länder. Es umfasst die fünf Unternehmensbereiche </w:t>
            </w:r>
            <w:proofErr w:type="spellStart"/>
            <w:r>
              <w:rPr>
                <w:rFonts w:ascii="Arial" w:hAnsi="Arial" w:cs="Arial"/>
                <w:b/>
                <w:sz w:val="18"/>
                <w:szCs w:val="18"/>
              </w:rPr>
              <w:t>fischer</w:t>
            </w:r>
            <w:proofErr w:type="spellEnd"/>
            <w:r>
              <w:rPr>
                <w:rFonts w:ascii="Arial" w:hAnsi="Arial" w:cs="Arial"/>
                <w:b/>
                <w:sz w:val="18"/>
                <w:szCs w:val="18"/>
              </w:rPr>
              <w:t xml:space="preserve"> Befestigungssysteme, </w:t>
            </w:r>
            <w:proofErr w:type="spellStart"/>
            <w:r>
              <w:rPr>
                <w:rFonts w:ascii="Arial" w:hAnsi="Arial" w:cs="Arial"/>
                <w:b/>
                <w:sz w:val="18"/>
                <w:szCs w:val="18"/>
              </w:rPr>
              <w:t>fischer</w:t>
            </w:r>
            <w:proofErr w:type="spellEnd"/>
            <w:r>
              <w:rPr>
                <w:rFonts w:ascii="Arial" w:hAnsi="Arial" w:cs="Arial"/>
                <w:b/>
                <w:sz w:val="18"/>
                <w:szCs w:val="18"/>
              </w:rPr>
              <w:t xml:space="preserve"> </w:t>
            </w:r>
            <w:proofErr w:type="spellStart"/>
            <w:r>
              <w:rPr>
                <w:rFonts w:ascii="Arial" w:hAnsi="Arial" w:cs="Arial"/>
                <w:b/>
                <w:sz w:val="18"/>
                <w:szCs w:val="18"/>
              </w:rPr>
              <w:t>automotive</w:t>
            </w:r>
            <w:proofErr w:type="spellEnd"/>
            <w:r>
              <w:rPr>
                <w:rFonts w:ascii="Arial" w:hAnsi="Arial" w:cs="Arial"/>
                <w:b/>
                <w:sz w:val="18"/>
                <w:szCs w:val="18"/>
              </w:rPr>
              <w:t xml:space="preserve"> </w:t>
            </w:r>
            <w:proofErr w:type="spellStart"/>
            <w:r>
              <w:rPr>
                <w:rFonts w:ascii="Arial" w:hAnsi="Arial" w:cs="Arial"/>
                <w:b/>
                <w:sz w:val="18"/>
                <w:szCs w:val="18"/>
              </w:rPr>
              <w:t>systems</w:t>
            </w:r>
            <w:proofErr w:type="spellEnd"/>
            <w:r>
              <w:rPr>
                <w:rFonts w:ascii="Arial" w:hAnsi="Arial" w:cs="Arial"/>
                <w:b/>
                <w:sz w:val="18"/>
                <w:szCs w:val="18"/>
              </w:rPr>
              <w:t xml:space="preserve">, </w:t>
            </w:r>
            <w:proofErr w:type="spellStart"/>
            <w:r>
              <w:rPr>
                <w:rFonts w:ascii="Arial" w:hAnsi="Arial" w:cs="Arial"/>
                <w:b/>
                <w:sz w:val="18"/>
                <w:szCs w:val="18"/>
              </w:rPr>
              <w:t>fischertechnik</w:t>
            </w:r>
            <w:proofErr w:type="spellEnd"/>
            <w:r>
              <w:rPr>
                <w:rFonts w:ascii="Arial" w:hAnsi="Arial" w:cs="Arial"/>
                <w:b/>
                <w:sz w:val="18"/>
                <w:szCs w:val="18"/>
              </w:rPr>
              <w:t xml:space="preserve">, </w:t>
            </w:r>
            <w:proofErr w:type="spellStart"/>
            <w:r>
              <w:rPr>
                <w:rFonts w:ascii="Arial" w:hAnsi="Arial" w:cs="Arial"/>
                <w:b/>
                <w:sz w:val="18"/>
                <w:szCs w:val="18"/>
              </w:rPr>
              <w:t>fischer</w:t>
            </w:r>
            <w:proofErr w:type="spellEnd"/>
            <w:r>
              <w:rPr>
                <w:rFonts w:ascii="Arial" w:hAnsi="Arial" w:cs="Arial"/>
                <w:b/>
                <w:sz w:val="18"/>
                <w:szCs w:val="18"/>
              </w:rPr>
              <w:t xml:space="preserve"> Consulting und LNT Automation. </w:t>
            </w:r>
          </w:p>
          <w:p w:rsidR="00D7191A" w:rsidRDefault="00D7191A" w:rsidP="0053247D">
            <w:pPr>
              <w:tabs>
                <w:tab w:val="left" w:pos="7200"/>
              </w:tabs>
              <w:spacing w:afterLines="60" w:after="144"/>
              <w:jc w:val="both"/>
              <w:rPr>
                <w:rFonts w:ascii="Arial" w:hAnsi="Arial" w:cs="Arial"/>
                <w:b/>
                <w:sz w:val="18"/>
                <w:szCs w:val="18"/>
              </w:rPr>
            </w:pPr>
            <w:proofErr w:type="spellStart"/>
            <w:r>
              <w:rPr>
                <w:rFonts w:ascii="Arial" w:hAnsi="Arial" w:cs="Arial"/>
                <w:b/>
                <w:sz w:val="18"/>
                <w:szCs w:val="18"/>
              </w:rPr>
              <w:t>fischer</w:t>
            </w:r>
            <w:proofErr w:type="spellEnd"/>
            <w:r>
              <w:rPr>
                <w:rFonts w:ascii="Arial" w:hAnsi="Arial" w:cs="Arial"/>
                <w:b/>
                <w:sz w:val="18"/>
                <w:szCs w:val="18"/>
              </w:rPr>
              <w:t xml:space="preserve"> Befestigungssysteme besitzt die technologische Marktführerschaft in wichtigen Feldern der Befestigungstechnik. Für ein breites Spektrum an Kunden, vom Heimwerker über den Handwerker bis zum Key-Account-Partner, bietet </w:t>
            </w:r>
            <w:proofErr w:type="spellStart"/>
            <w:r>
              <w:rPr>
                <w:rFonts w:ascii="Arial" w:hAnsi="Arial" w:cs="Arial"/>
                <w:b/>
                <w:sz w:val="18"/>
                <w:szCs w:val="18"/>
              </w:rPr>
              <w:t>fischer</w:t>
            </w:r>
            <w:proofErr w:type="spellEnd"/>
            <w:r>
              <w:rPr>
                <w:rFonts w:ascii="Arial" w:hAnsi="Arial" w:cs="Arial"/>
                <w:b/>
                <w:sz w:val="18"/>
                <w:szCs w:val="18"/>
              </w:rPr>
              <w:t xml:space="preserve"> Produkte in technischer Perfektion.</w:t>
            </w:r>
          </w:p>
          <w:p w:rsidR="00D7191A" w:rsidRDefault="00D7191A" w:rsidP="0053247D">
            <w:pPr>
              <w:tabs>
                <w:tab w:val="left" w:pos="7200"/>
              </w:tabs>
              <w:spacing w:afterLines="60" w:after="144"/>
              <w:jc w:val="both"/>
              <w:rPr>
                <w:rFonts w:ascii="Arial" w:hAnsi="Arial" w:cs="Arial"/>
                <w:b/>
                <w:sz w:val="18"/>
                <w:szCs w:val="18"/>
              </w:rPr>
            </w:pPr>
            <w:proofErr w:type="spellStart"/>
            <w:r>
              <w:rPr>
                <w:rFonts w:ascii="Arial" w:hAnsi="Arial" w:cs="Arial"/>
                <w:b/>
                <w:sz w:val="18"/>
                <w:szCs w:val="18"/>
              </w:rPr>
              <w:t>fischer</w:t>
            </w:r>
            <w:proofErr w:type="spellEnd"/>
            <w:r>
              <w:rPr>
                <w:rFonts w:ascii="Arial" w:hAnsi="Arial" w:cs="Arial"/>
                <w:b/>
                <w:sz w:val="18"/>
                <w:szCs w:val="18"/>
              </w:rPr>
              <w:t xml:space="preserve"> </w:t>
            </w:r>
            <w:proofErr w:type="spellStart"/>
            <w:r>
              <w:rPr>
                <w:rFonts w:ascii="Arial" w:hAnsi="Arial" w:cs="Arial"/>
                <w:b/>
                <w:sz w:val="18"/>
                <w:szCs w:val="18"/>
              </w:rPr>
              <w:t>automotive</w:t>
            </w:r>
            <w:proofErr w:type="spellEnd"/>
            <w:r>
              <w:rPr>
                <w:rFonts w:ascii="Arial" w:hAnsi="Arial" w:cs="Arial"/>
                <w:b/>
                <w:sz w:val="18"/>
                <w:szCs w:val="18"/>
              </w:rPr>
              <w:t xml:space="preserve"> </w:t>
            </w:r>
            <w:proofErr w:type="spellStart"/>
            <w:r>
              <w:rPr>
                <w:rFonts w:ascii="Arial" w:hAnsi="Arial" w:cs="Arial"/>
                <w:b/>
                <w:sz w:val="18"/>
                <w:szCs w:val="18"/>
              </w:rPr>
              <w:t>systems</w:t>
            </w:r>
            <w:proofErr w:type="spellEnd"/>
            <w:r>
              <w:rPr>
                <w:rFonts w:ascii="Arial" w:hAnsi="Arial" w:cs="Arial"/>
                <w:b/>
                <w:sz w:val="18"/>
                <w:szCs w:val="18"/>
              </w:rPr>
              <w:t xml:space="preserve"> fertigt hochwertige Innenraumkomponenten für Fahrzeuge. Das Unternehmen besitzt eine hohe Kompetenz in der Kunststoffverarbeitung und ist ein wichtiger Partner der Automobilindustrie. Das Produktspektrum umfasst </w:t>
            </w:r>
            <w:proofErr w:type="spellStart"/>
            <w:r>
              <w:rPr>
                <w:rFonts w:ascii="Arial" w:hAnsi="Arial" w:cs="Arial"/>
                <w:b/>
                <w:sz w:val="18"/>
                <w:szCs w:val="18"/>
              </w:rPr>
              <w:t>Luftausströmer</w:t>
            </w:r>
            <w:proofErr w:type="spellEnd"/>
            <w:r>
              <w:rPr>
                <w:rFonts w:ascii="Arial" w:hAnsi="Arial" w:cs="Arial"/>
                <w:b/>
                <w:sz w:val="18"/>
                <w:szCs w:val="18"/>
              </w:rPr>
              <w:t xml:space="preserve">, Getränkehalter, Ablagefächer und Multifunktionskomponenten. </w:t>
            </w:r>
          </w:p>
          <w:p w:rsidR="00D7191A" w:rsidRDefault="00D7191A" w:rsidP="0053247D">
            <w:pPr>
              <w:tabs>
                <w:tab w:val="left" w:pos="7200"/>
              </w:tabs>
              <w:spacing w:afterLines="60" w:after="144"/>
              <w:jc w:val="both"/>
              <w:rPr>
                <w:rFonts w:ascii="Arial" w:hAnsi="Arial" w:cs="Arial"/>
                <w:b/>
                <w:sz w:val="18"/>
                <w:szCs w:val="18"/>
              </w:rPr>
            </w:pPr>
            <w:proofErr w:type="spellStart"/>
            <w:r>
              <w:rPr>
                <w:rFonts w:ascii="Arial" w:hAnsi="Arial" w:cs="Arial"/>
                <w:b/>
                <w:sz w:val="18"/>
                <w:szCs w:val="18"/>
              </w:rPr>
              <w:t>fischertechnik</w:t>
            </w:r>
            <w:proofErr w:type="spellEnd"/>
            <w:r>
              <w:rPr>
                <w:rFonts w:ascii="Arial" w:hAnsi="Arial" w:cs="Arial"/>
                <w:b/>
                <w:sz w:val="18"/>
                <w:szCs w:val="18"/>
              </w:rPr>
              <w:t xml:space="preserve"> ist mit seinen Konstruktionsbaukästen sowohl im Spielwaren- als auch im Bildungsbereich aktiv. Als einer der letzten Spielwarenanbieter entwickelt und fertigt </w:t>
            </w:r>
            <w:proofErr w:type="spellStart"/>
            <w:r>
              <w:rPr>
                <w:rFonts w:ascii="Arial" w:hAnsi="Arial" w:cs="Arial"/>
                <w:b/>
                <w:sz w:val="18"/>
                <w:szCs w:val="18"/>
              </w:rPr>
              <w:t>fischertechnik</w:t>
            </w:r>
            <w:proofErr w:type="spellEnd"/>
            <w:r>
              <w:rPr>
                <w:rFonts w:ascii="Arial" w:hAnsi="Arial" w:cs="Arial"/>
                <w:b/>
                <w:sz w:val="18"/>
                <w:szCs w:val="18"/>
              </w:rPr>
              <w:t xml:space="preserve"> ausschließlich in Deutschland.</w:t>
            </w:r>
          </w:p>
          <w:p w:rsidR="00D7191A" w:rsidRDefault="00D7191A" w:rsidP="0053247D">
            <w:pPr>
              <w:tabs>
                <w:tab w:val="left" w:pos="7200"/>
              </w:tabs>
              <w:spacing w:afterLines="60" w:after="144"/>
              <w:jc w:val="both"/>
              <w:rPr>
                <w:rFonts w:ascii="Arial" w:hAnsi="Arial" w:cs="Arial"/>
                <w:b/>
                <w:sz w:val="18"/>
                <w:szCs w:val="18"/>
              </w:rPr>
            </w:pPr>
            <w:proofErr w:type="spellStart"/>
            <w:r>
              <w:rPr>
                <w:rFonts w:ascii="Arial" w:hAnsi="Arial" w:cs="Arial"/>
                <w:b/>
                <w:sz w:val="18"/>
                <w:szCs w:val="18"/>
              </w:rPr>
              <w:t>fischer</w:t>
            </w:r>
            <w:proofErr w:type="spellEnd"/>
            <w:r>
              <w:rPr>
                <w:rFonts w:ascii="Arial" w:hAnsi="Arial" w:cs="Arial"/>
                <w:b/>
                <w:sz w:val="18"/>
                <w:szCs w:val="18"/>
              </w:rPr>
              <w:t xml:space="preserve"> Consulting entstand aus den im eigenen Unternehmen entwickelten Kompetenzen. Dort angesiedelt ist das </w:t>
            </w:r>
            <w:proofErr w:type="spellStart"/>
            <w:r>
              <w:rPr>
                <w:rFonts w:ascii="Arial" w:hAnsi="Arial" w:cs="Arial"/>
                <w:b/>
                <w:sz w:val="18"/>
                <w:szCs w:val="18"/>
              </w:rPr>
              <w:t>fischer</w:t>
            </w:r>
            <w:proofErr w:type="spellEnd"/>
            <w:r>
              <w:rPr>
                <w:rFonts w:ascii="Arial" w:hAnsi="Arial" w:cs="Arial"/>
                <w:b/>
                <w:sz w:val="18"/>
                <w:szCs w:val="18"/>
              </w:rPr>
              <w:t xml:space="preserve"> </w:t>
            </w:r>
            <w:proofErr w:type="spellStart"/>
            <w:r>
              <w:rPr>
                <w:rFonts w:ascii="Arial" w:hAnsi="Arial" w:cs="Arial"/>
                <w:b/>
                <w:sz w:val="18"/>
                <w:szCs w:val="18"/>
              </w:rPr>
              <w:t>ProzessSystem</w:t>
            </w:r>
            <w:proofErr w:type="spellEnd"/>
            <w:r>
              <w:rPr>
                <w:rFonts w:ascii="Arial" w:hAnsi="Arial" w:cs="Arial"/>
                <w:b/>
                <w:sz w:val="18"/>
                <w:szCs w:val="18"/>
              </w:rPr>
              <w:t xml:space="preserve">, dessen zentraler Inhalt die permanente Verbesserung ist. Dabei orientiert sich das </w:t>
            </w:r>
            <w:proofErr w:type="spellStart"/>
            <w:r>
              <w:rPr>
                <w:rFonts w:ascii="Arial" w:hAnsi="Arial" w:cs="Arial"/>
                <w:b/>
                <w:sz w:val="18"/>
                <w:szCs w:val="18"/>
              </w:rPr>
              <w:t>fischer</w:t>
            </w:r>
            <w:proofErr w:type="spellEnd"/>
            <w:r>
              <w:rPr>
                <w:rFonts w:ascii="Arial" w:hAnsi="Arial" w:cs="Arial"/>
                <w:b/>
                <w:sz w:val="18"/>
                <w:szCs w:val="18"/>
              </w:rPr>
              <w:t xml:space="preserve"> </w:t>
            </w:r>
            <w:proofErr w:type="spellStart"/>
            <w:r>
              <w:rPr>
                <w:rFonts w:ascii="Arial" w:hAnsi="Arial" w:cs="Arial"/>
                <w:b/>
                <w:sz w:val="18"/>
                <w:szCs w:val="18"/>
              </w:rPr>
              <w:t>ProzessSystem</w:t>
            </w:r>
            <w:proofErr w:type="spellEnd"/>
            <w:r>
              <w:rPr>
                <w:rFonts w:ascii="Arial" w:hAnsi="Arial" w:cs="Arial"/>
                <w:b/>
                <w:sz w:val="18"/>
                <w:szCs w:val="18"/>
              </w:rPr>
              <w:t xml:space="preserve"> immer am Nutzen für den Kunden. </w:t>
            </w:r>
            <w:proofErr w:type="spellStart"/>
            <w:r>
              <w:rPr>
                <w:rFonts w:ascii="Arial" w:hAnsi="Arial" w:cs="Arial"/>
                <w:b/>
                <w:sz w:val="18"/>
                <w:szCs w:val="18"/>
              </w:rPr>
              <w:t>fischer</w:t>
            </w:r>
            <w:proofErr w:type="spellEnd"/>
            <w:r>
              <w:rPr>
                <w:rFonts w:ascii="Arial" w:hAnsi="Arial" w:cs="Arial"/>
                <w:b/>
                <w:sz w:val="18"/>
                <w:szCs w:val="18"/>
              </w:rPr>
              <w:t xml:space="preserve"> Consulting berät mittelständische Unternehmen, Behörden und Großkonzerne auf dem Weg zu schlanken und effizienten Prozessen.</w:t>
            </w:r>
          </w:p>
          <w:p w:rsidR="00D7191A" w:rsidRDefault="00D7191A" w:rsidP="0053247D">
            <w:pPr>
              <w:spacing w:afterLines="60" w:after="144"/>
              <w:jc w:val="both"/>
              <w:rPr>
                <w:rFonts w:ascii="Arial" w:eastAsia="Times New Roman" w:hAnsi="Arial" w:cs="Arial"/>
                <w:b/>
                <w:sz w:val="18"/>
                <w:szCs w:val="18"/>
                <w:lang w:eastAsia="de-DE"/>
              </w:rPr>
            </w:pPr>
            <w:r>
              <w:rPr>
                <w:rFonts w:ascii="Arial" w:eastAsia="Times New Roman" w:hAnsi="Arial" w:cs="Arial"/>
                <w:b/>
                <w:sz w:val="18"/>
                <w:szCs w:val="18"/>
                <w:lang w:eastAsia="de-DE"/>
              </w:rPr>
              <w:t xml:space="preserve">LNT Automation entwickelt und fertigt kundenspezifische Elektroniklösungen. Außerdem befasst sich das Unternehmen mit der Entwicklung, der Herstellung und dem Vertrieb von kundenspezifischen und kapazitiven </w:t>
            </w:r>
            <w:proofErr w:type="spellStart"/>
            <w:r>
              <w:rPr>
                <w:rFonts w:ascii="Arial" w:eastAsia="Times New Roman" w:hAnsi="Arial" w:cs="Arial"/>
                <w:b/>
                <w:sz w:val="18"/>
                <w:szCs w:val="18"/>
                <w:lang w:eastAsia="de-DE"/>
              </w:rPr>
              <w:t>Touchsystemen</w:t>
            </w:r>
            <w:proofErr w:type="spellEnd"/>
            <w:r>
              <w:rPr>
                <w:rFonts w:ascii="Arial" w:eastAsia="Times New Roman" w:hAnsi="Arial" w:cs="Arial"/>
                <w:b/>
                <w:sz w:val="18"/>
                <w:szCs w:val="18"/>
                <w:lang w:eastAsia="de-DE"/>
              </w:rPr>
              <w:t xml:space="preserve"> wie </w:t>
            </w:r>
            <w:proofErr w:type="spellStart"/>
            <w:r>
              <w:rPr>
                <w:rFonts w:ascii="Arial" w:eastAsia="Times New Roman" w:hAnsi="Arial" w:cs="Arial"/>
                <w:b/>
                <w:sz w:val="18"/>
                <w:szCs w:val="18"/>
                <w:lang w:eastAsia="de-DE"/>
              </w:rPr>
              <w:t>Multitouch</w:t>
            </w:r>
            <w:proofErr w:type="spellEnd"/>
            <w:r>
              <w:rPr>
                <w:rFonts w:ascii="Arial" w:eastAsia="Times New Roman" w:hAnsi="Arial" w:cs="Arial"/>
                <w:b/>
                <w:sz w:val="18"/>
                <w:szCs w:val="18"/>
                <w:lang w:eastAsia="de-DE"/>
              </w:rPr>
              <w:t>-Lösungen aus Glas und dazu passenden Controllereinheiten. Die Elektronik wird in Eigenherstellung gefertigt.</w:t>
            </w:r>
          </w:p>
          <w:p w:rsidR="00D7191A" w:rsidRPr="00D7191A" w:rsidRDefault="00D7191A" w:rsidP="0053247D">
            <w:pPr>
              <w:spacing w:afterLines="60" w:after="144"/>
              <w:jc w:val="both"/>
              <w:rPr>
                <w:rFonts w:ascii="Arial" w:eastAsia="Times New Roman" w:hAnsi="Arial" w:cs="Arial"/>
                <w:b/>
                <w:sz w:val="18"/>
                <w:szCs w:val="18"/>
                <w:lang w:eastAsia="de-DE"/>
              </w:rPr>
            </w:pPr>
            <w:r>
              <w:rPr>
                <w:rFonts w:ascii="Arial" w:hAnsi="Arial" w:cs="Arial"/>
                <w:b/>
                <w:sz w:val="18"/>
                <w:szCs w:val="18"/>
              </w:rPr>
              <w:t>Im Internet: www.fischer.group</w:t>
            </w:r>
          </w:p>
          <w:p w:rsidR="003D1C97" w:rsidRPr="00D5780A" w:rsidRDefault="00F36B92" w:rsidP="0053247D">
            <w:pPr>
              <w:tabs>
                <w:tab w:val="left" w:pos="7200"/>
              </w:tabs>
              <w:spacing w:afterLines="60" w:after="144"/>
              <w:jc w:val="both"/>
              <w:rPr>
                <w:rFonts w:ascii="Arial" w:hAnsi="Arial" w:cs="Arial"/>
                <w:sz w:val="24"/>
                <w:szCs w:val="24"/>
              </w:rPr>
            </w:pPr>
            <w:r>
              <w:rPr>
                <w:rFonts w:ascii="Arial" w:hAnsi="Arial" w:cs="Arial"/>
                <w:b/>
                <w:sz w:val="18"/>
                <w:szCs w:val="18"/>
              </w:rPr>
              <w:fldChar w:fldCharType="end"/>
            </w:r>
          </w:p>
        </w:tc>
        <w:tc>
          <w:tcPr>
            <w:tcW w:w="3261" w:type="dxa"/>
          </w:tcPr>
          <w:p w:rsidR="003D1C97" w:rsidRPr="0004741C" w:rsidRDefault="003D1C97" w:rsidP="00872E19">
            <w:pPr>
              <w:rPr>
                <w:rFonts w:ascii="Arial" w:hAnsi="Arial" w:cs="Arial"/>
              </w:rPr>
            </w:pPr>
          </w:p>
        </w:tc>
      </w:tr>
      <w:tr w:rsidR="003D1C97" w:rsidRPr="0004741C" w:rsidTr="00AA10C8">
        <w:tc>
          <w:tcPr>
            <w:tcW w:w="6912" w:type="dxa"/>
          </w:tcPr>
          <w:p w:rsidR="003D1C97" w:rsidRPr="0004741C" w:rsidRDefault="003D1C97" w:rsidP="00D5780A">
            <w:pPr>
              <w:jc w:val="both"/>
              <w:rPr>
                <w:rFonts w:ascii="Arial" w:hAnsi="Arial" w:cs="Arial"/>
                <w:sz w:val="24"/>
                <w:szCs w:val="24"/>
              </w:rPr>
            </w:pPr>
          </w:p>
        </w:tc>
        <w:tc>
          <w:tcPr>
            <w:tcW w:w="3261" w:type="dxa"/>
          </w:tcPr>
          <w:p w:rsidR="003D1C97" w:rsidRPr="0004741C" w:rsidRDefault="003D1C97" w:rsidP="00AA10C8">
            <w:pPr>
              <w:tabs>
                <w:tab w:val="left" w:pos="567"/>
                <w:tab w:val="left" w:pos="709"/>
                <w:tab w:val="left" w:pos="2410"/>
                <w:tab w:val="left" w:pos="2835"/>
                <w:tab w:val="left" w:pos="3402"/>
              </w:tabs>
              <w:spacing w:after="120" w:line="360" w:lineRule="auto"/>
              <w:rPr>
                <w:rFonts w:ascii="Arial" w:hAnsi="Arial" w:cs="Arial"/>
              </w:rPr>
            </w:pPr>
          </w:p>
        </w:tc>
      </w:tr>
      <w:tr w:rsidR="003D1C97" w:rsidRPr="0004741C" w:rsidTr="00AA10C8">
        <w:tc>
          <w:tcPr>
            <w:tcW w:w="6912" w:type="dxa"/>
          </w:tcPr>
          <w:p w:rsidR="00BE2535" w:rsidRDefault="00BE2535" w:rsidP="00903462">
            <w:pPr>
              <w:tabs>
                <w:tab w:val="left" w:pos="7200"/>
              </w:tabs>
              <w:spacing w:after="120" w:line="276" w:lineRule="auto"/>
              <w:rPr>
                <w:rFonts w:ascii="Arial" w:hAnsi="Arial" w:cs="Arial"/>
                <w:b/>
                <w:sz w:val="24"/>
                <w:szCs w:val="24"/>
                <w:u w:val="single"/>
              </w:rPr>
            </w:pPr>
          </w:p>
          <w:p w:rsidR="00E15CAD" w:rsidRDefault="00E15CAD" w:rsidP="00E15CAD">
            <w:pPr>
              <w:tabs>
                <w:tab w:val="left" w:pos="7200"/>
              </w:tabs>
              <w:spacing w:after="120"/>
              <w:rPr>
                <w:rFonts w:ascii="Arial" w:hAnsi="Arial" w:cs="Arial"/>
                <w:b/>
                <w:sz w:val="24"/>
                <w:szCs w:val="24"/>
                <w:u w:val="single"/>
              </w:rPr>
            </w:pPr>
            <w:r>
              <w:rPr>
                <w:rFonts w:ascii="Arial" w:hAnsi="Arial" w:cs="Arial"/>
                <w:b/>
                <w:sz w:val="24"/>
                <w:szCs w:val="24"/>
                <w:u w:val="single"/>
              </w:rPr>
              <w:t>Ansprechpartnerin</w:t>
            </w:r>
          </w:p>
          <w:p w:rsidR="003D1C97" w:rsidRPr="00903462" w:rsidRDefault="00E15CAD" w:rsidP="00E15CAD">
            <w:pPr>
              <w:tabs>
                <w:tab w:val="left" w:pos="7200"/>
              </w:tabs>
              <w:spacing w:after="120"/>
              <w:rPr>
                <w:rFonts w:ascii="Arial" w:hAnsi="Arial" w:cs="Arial"/>
                <w:sz w:val="24"/>
                <w:szCs w:val="24"/>
              </w:rPr>
            </w:pPr>
            <w:r>
              <w:rPr>
                <w:rFonts w:ascii="Arial" w:hAnsi="Arial" w:cs="Arial"/>
                <w:b/>
                <w:sz w:val="24"/>
                <w:szCs w:val="24"/>
              </w:rPr>
              <w:t>Sandra Roth</w:t>
            </w:r>
            <w:r>
              <w:rPr>
                <w:rFonts w:ascii="Arial" w:hAnsi="Arial" w:cs="Arial"/>
                <w:b/>
                <w:sz w:val="24"/>
                <w:szCs w:val="24"/>
              </w:rPr>
              <w:br/>
            </w:r>
            <w:r w:rsidR="000B4930">
              <w:rPr>
                <w:rFonts w:ascii="Arial" w:hAnsi="Arial" w:cs="Arial"/>
                <w:sz w:val="24"/>
                <w:szCs w:val="24"/>
              </w:rPr>
              <w:t>Unternehmenskommunikation</w:t>
            </w:r>
            <w:r>
              <w:rPr>
                <w:rFonts w:ascii="Arial" w:hAnsi="Arial" w:cs="Arial"/>
                <w:sz w:val="24"/>
                <w:szCs w:val="24"/>
              </w:rPr>
              <w:t xml:space="preserve"> </w:t>
            </w:r>
            <w:r>
              <w:rPr>
                <w:rFonts w:ascii="Arial" w:hAnsi="Arial" w:cs="Arial"/>
                <w:sz w:val="24"/>
                <w:szCs w:val="24"/>
              </w:rPr>
              <w:br/>
              <w:t>Telefon: +49 7443 12 – 6251</w:t>
            </w:r>
            <w:r>
              <w:rPr>
                <w:rFonts w:ascii="Arial" w:hAnsi="Arial" w:cs="Arial"/>
                <w:sz w:val="24"/>
                <w:szCs w:val="24"/>
              </w:rPr>
              <w:br/>
            </w:r>
            <w:r>
              <w:rPr>
                <w:rFonts w:ascii="Arial" w:hAnsi="Arial" w:cs="Arial"/>
                <w:sz w:val="24"/>
                <w:szCs w:val="24"/>
                <w:lang w:val="it-IT"/>
              </w:rPr>
              <w:t xml:space="preserve">E-Mail: </w:t>
            </w:r>
            <w:hyperlink r:id="rId6" w:history="1">
              <w:r>
                <w:rPr>
                  <w:rStyle w:val="Hyperlink"/>
                  <w:rFonts w:ascii="Arial" w:hAnsi="Arial" w:cs="Arial"/>
                  <w:sz w:val="24"/>
                  <w:szCs w:val="24"/>
                  <w:lang w:val="it-IT"/>
                </w:rPr>
                <w:t>Sandra.Roth@fischer.de</w:t>
              </w:r>
            </w:hyperlink>
          </w:p>
        </w:tc>
        <w:tc>
          <w:tcPr>
            <w:tcW w:w="3261" w:type="dxa"/>
          </w:tcPr>
          <w:p w:rsidR="003D1C97" w:rsidRPr="0004741C" w:rsidRDefault="003D1C97">
            <w:pPr>
              <w:rPr>
                <w:rFonts w:ascii="Arial" w:hAnsi="Arial" w:cs="Arial"/>
              </w:rPr>
            </w:pPr>
          </w:p>
        </w:tc>
      </w:tr>
      <w:tr w:rsidR="003D1C97" w:rsidRPr="0004741C" w:rsidTr="00AA10C8">
        <w:tc>
          <w:tcPr>
            <w:tcW w:w="6912" w:type="dxa"/>
          </w:tcPr>
          <w:p w:rsidR="003D1C97" w:rsidRPr="0004741C" w:rsidRDefault="003D1C97" w:rsidP="00903462">
            <w:pPr>
              <w:tabs>
                <w:tab w:val="left" w:pos="7200"/>
              </w:tabs>
              <w:spacing w:after="120" w:line="276" w:lineRule="auto"/>
              <w:rPr>
                <w:rFonts w:ascii="Arial" w:hAnsi="Arial" w:cs="Arial"/>
                <w:sz w:val="24"/>
                <w:szCs w:val="24"/>
              </w:rPr>
            </w:pPr>
          </w:p>
        </w:tc>
        <w:tc>
          <w:tcPr>
            <w:tcW w:w="3261" w:type="dxa"/>
          </w:tcPr>
          <w:p w:rsidR="003D1C97" w:rsidRPr="0004741C" w:rsidRDefault="003D1C97">
            <w:pPr>
              <w:rPr>
                <w:rFonts w:ascii="Arial" w:hAnsi="Arial" w:cs="Arial"/>
              </w:rPr>
            </w:pPr>
          </w:p>
        </w:tc>
      </w:tr>
    </w:tbl>
    <w:p w:rsidR="00AA10C8" w:rsidRPr="0004741C" w:rsidRDefault="00AA10C8" w:rsidP="00903462">
      <w:pPr>
        <w:rPr>
          <w:rFonts w:ascii="Arial" w:hAnsi="Arial" w:cs="Arial"/>
        </w:rPr>
      </w:pPr>
    </w:p>
    <w:sectPr w:rsidR="00AA10C8" w:rsidRPr="0004741C" w:rsidSect="0004741C">
      <w:pgSz w:w="11906" w:h="16838"/>
      <w:pgMar w:top="1417" w:right="3826"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F4E76"/>
    <w:multiLevelType w:val="hybridMultilevel"/>
    <w:tmpl w:val="4428248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113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741C"/>
    <w:rsid w:val="000426F3"/>
    <w:rsid w:val="0004741C"/>
    <w:rsid w:val="000B30BC"/>
    <w:rsid w:val="000B4930"/>
    <w:rsid w:val="00192DA4"/>
    <w:rsid w:val="001D4665"/>
    <w:rsid w:val="00211E49"/>
    <w:rsid w:val="00270070"/>
    <w:rsid w:val="002D0B75"/>
    <w:rsid w:val="003D1C97"/>
    <w:rsid w:val="003D2502"/>
    <w:rsid w:val="00461000"/>
    <w:rsid w:val="004C1EF3"/>
    <w:rsid w:val="004D3417"/>
    <w:rsid w:val="0053247D"/>
    <w:rsid w:val="005618AD"/>
    <w:rsid w:val="00650EC8"/>
    <w:rsid w:val="00652CD0"/>
    <w:rsid w:val="006852A5"/>
    <w:rsid w:val="006E5966"/>
    <w:rsid w:val="007F12B0"/>
    <w:rsid w:val="00872E19"/>
    <w:rsid w:val="008A0FB1"/>
    <w:rsid w:val="00903462"/>
    <w:rsid w:val="00A465A8"/>
    <w:rsid w:val="00AA10C8"/>
    <w:rsid w:val="00B01F81"/>
    <w:rsid w:val="00B7343A"/>
    <w:rsid w:val="00BE2535"/>
    <w:rsid w:val="00BF46B6"/>
    <w:rsid w:val="00CC24D5"/>
    <w:rsid w:val="00D20AC0"/>
    <w:rsid w:val="00D45D7A"/>
    <w:rsid w:val="00D5780A"/>
    <w:rsid w:val="00D7191A"/>
    <w:rsid w:val="00E15CAD"/>
    <w:rsid w:val="00E83776"/>
    <w:rsid w:val="00F34056"/>
    <w:rsid w:val="00F36B92"/>
    <w:rsid w:val="00F60BD5"/>
    <w:rsid w:val="00F928D6"/>
    <w:rsid w:val="00FC6B15"/>
    <w:rsid w:val="00FD7F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BF76F"/>
  <w15:docId w15:val="{D929B616-02A9-4253-A874-2E416A148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47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474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790413">
      <w:bodyDiv w:val="1"/>
      <w:marLeft w:val="0"/>
      <w:marRight w:val="0"/>
      <w:marTop w:val="0"/>
      <w:marBottom w:val="0"/>
      <w:divBdr>
        <w:top w:val="none" w:sz="0" w:space="0" w:color="auto"/>
        <w:left w:val="none" w:sz="0" w:space="0" w:color="auto"/>
        <w:bottom w:val="none" w:sz="0" w:space="0" w:color="auto"/>
        <w:right w:val="none" w:sz="0" w:space="0" w:color="auto"/>
      </w:divBdr>
    </w:div>
    <w:div w:id="1842351597">
      <w:bodyDiv w:val="1"/>
      <w:marLeft w:val="0"/>
      <w:marRight w:val="0"/>
      <w:marTop w:val="0"/>
      <w:marBottom w:val="0"/>
      <w:divBdr>
        <w:top w:val="none" w:sz="0" w:space="0" w:color="auto"/>
        <w:left w:val="none" w:sz="0" w:space="0" w:color="auto"/>
        <w:bottom w:val="none" w:sz="0" w:space="0" w:color="auto"/>
        <w:right w:val="none" w:sz="0" w:space="0" w:color="auto"/>
      </w:divBdr>
    </w:div>
    <w:div w:id="207462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dra.Roth@fischer.de"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666</Words>
  <Characters>4199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Unternehmensgruppe fischer</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 Allgemein</dc:creator>
  <cp:lastModifiedBy>Uwe Arndt</cp:lastModifiedBy>
  <cp:revision>6</cp:revision>
  <dcterms:created xsi:type="dcterms:W3CDTF">2018-01-16T15:43:00Z</dcterms:created>
  <dcterms:modified xsi:type="dcterms:W3CDTF">2018-02-06T08:50:00Z</dcterms:modified>
</cp:coreProperties>
</file>